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54A7C264" w14:textId="77777777" w:rsidTr="004C2355">
        <w:trPr>
          <w:trHeight w:hRule="exact" w:val="1332"/>
        </w:trPr>
        <w:tc>
          <w:tcPr>
            <w:tcW w:w="8330" w:type="dxa"/>
            <w:vAlign w:val="center"/>
          </w:tcPr>
          <w:p w14:paraId="5EF4E49D" w14:textId="5A19E2D4" w:rsidR="00DA4AF4" w:rsidRDefault="0097100A" w:rsidP="00C81948">
            <w:pPr>
              <w:pStyle w:val="Title"/>
              <w:framePr w:w="0" w:hRule="auto" w:wrap="auto" w:vAnchor="margin" w:hAnchor="text" w:yAlign="inline"/>
            </w:pPr>
            <w:r>
              <w:t>Electricity Ring-fencing</w:t>
            </w:r>
          </w:p>
          <w:p w14:paraId="73F33792" w14:textId="2379C58B" w:rsidR="00DA4AF4" w:rsidRPr="004D2F1B" w:rsidRDefault="006435F7" w:rsidP="00C81948">
            <w:pPr>
              <w:pStyle w:val="Subtitle"/>
            </w:pPr>
            <w:sdt>
              <w:sdtPr>
                <w:alias w:val="Title"/>
                <w:tag w:val="Title"/>
                <w:id w:val="1504311416"/>
                <w:placeholder>
                  <w:docPart w:val="10E0B91588814C889E445FCE6F96907E"/>
                </w:placeholder>
                <w:dataBinding w:prefixMappings="xmlns:ns0='http://purl.org/dc/elements/1.1/' xmlns:ns1='http://schemas.openxmlformats.org/package/2006/metadata/core-properties' " w:xpath="/ns1:coreProperties[1]/ns0:subject[1]" w:storeItemID="{6C3C8BC8-F283-45AE-878A-BAB7291924A1}"/>
                <w:text/>
              </w:sdtPr>
              <w:sdtEndPr/>
              <w:sdtContent>
                <w:r w:rsidR="00072CDF">
                  <w:t xml:space="preserve">Waivers Register – </w:t>
                </w:r>
                <w:r w:rsidR="00254B67">
                  <w:t>Apr</w:t>
                </w:r>
                <w:r>
                  <w:t>il</w:t>
                </w:r>
                <w:r w:rsidR="006D267A">
                  <w:t xml:space="preserve"> 2026</w:t>
                </w:r>
              </w:sdtContent>
            </w:sdt>
          </w:p>
        </w:tc>
      </w:tr>
    </w:tbl>
    <w:p w14:paraId="42D954F6" w14:textId="77777777" w:rsidR="00F54619" w:rsidRDefault="00F54619" w:rsidP="00F54619"/>
    <w:p w14:paraId="7829BD4E" w14:textId="79213993" w:rsidR="009840EB" w:rsidRDefault="009840EB" w:rsidP="009840EB">
      <w:r w:rsidRPr="005D1F59">
        <w:t>In accordance with cl 5.7 of the Australian Energy Regulator’s Electricity Ring-fencing Guideline, below is Jemena Electricity Network’s Waivers register including:</w:t>
      </w:r>
    </w:p>
    <w:p w14:paraId="745041DC" w14:textId="77777777" w:rsidR="009840EB" w:rsidRDefault="009840EB" w:rsidP="009840EB"/>
    <w:p w14:paraId="45FB7DBF" w14:textId="77777777" w:rsidR="009840EB" w:rsidRDefault="009840EB" w:rsidP="009840EB">
      <w:pPr>
        <w:pStyle w:val="ListParagraph"/>
        <w:numPr>
          <w:ilvl w:val="0"/>
          <w:numId w:val="41"/>
        </w:numPr>
        <w:spacing w:after="160" w:line="259" w:lineRule="auto"/>
        <w:jc w:val="left"/>
      </w:pPr>
      <w:r w:rsidRPr="005D1F59">
        <w:t>the description of the conduct to which the waiver or interim waiver applies; and</w:t>
      </w:r>
    </w:p>
    <w:p w14:paraId="5C13E6B8" w14:textId="77777777" w:rsidR="009840EB" w:rsidRDefault="009840EB" w:rsidP="009840EB">
      <w:pPr>
        <w:pStyle w:val="ListParagraph"/>
        <w:numPr>
          <w:ilvl w:val="0"/>
          <w:numId w:val="41"/>
        </w:numPr>
        <w:spacing w:after="160" w:line="259" w:lineRule="auto"/>
        <w:jc w:val="left"/>
      </w:pPr>
      <w:r w:rsidRPr="005D1F59">
        <w:t>the terms and conditions of the waiver or interim waiver.</w:t>
      </w:r>
    </w:p>
    <w:p w14:paraId="1E078789" w14:textId="77777777" w:rsidR="0079448C" w:rsidRDefault="0079448C" w:rsidP="0097100A"/>
    <w:tbl>
      <w:tblPr>
        <w:tblStyle w:val="GridTable4-Accent1"/>
        <w:tblW w:w="9776" w:type="dxa"/>
        <w:tblLook w:val="04A0" w:firstRow="1" w:lastRow="0" w:firstColumn="1" w:lastColumn="0" w:noHBand="0" w:noVBand="1"/>
      </w:tblPr>
      <w:tblGrid>
        <w:gridCol w:w="2122"/>
        <w:gridCol w:w="7654"/>
      </w:tblGrid>
      <w:tr w:rsidR="00892E7C" w14:paraId="4E1C6EE9" w14:textId="77777777" w:rsidTr="00A46E2A">
        <w:trPr>
          <w:cnfStyle w:val="100000000000" w:firstRow="1" w:lastRow="0" w:firstColumn="0" w:lastColumn="0" w:oddVBand="0" w:evenVBand="0" w:oddHBand="0"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122" w:type="dxa"/>
          </w:tcPr>
          <w:p w14:paraId="3E7C70C7" w14:textId="6CF6AAF9" w:rsidR="00892E7C" w:rsidRDefault="008F6A1C" w:rsidP="00A46E2A">
            <w:r>
              <w:t>Description of conduct to which waiver applies</w:t>
            </w:r>
          </w:p>
        </w:tc>
        <w:tc>
          <w:tcPr>
            <w:tcW w:w="7654" w:type="dxa"/>
          </w:tcPr>
          <w:p w14:paraId="46FF6041" w14:textId="35B7395D" w:rsidR="00892E7C" w:rsidRDefault="008F6A1C" w:rsidP="00A46E2A">
            <w:pPr>
              <w:cnfStyle w:val="100000000000" w:firstRow="1" w:lastRow="0" w:firstColumn="0" w:lastColumn="0" w:oddVBand="0" w:evenVBand="0" w:oddHBand="0" w:evenHBand="0" w:firstRowFirstColumn="0" w:firstRowLastColumn="0" w:lastRowFirstColumn="0" w:lastRowLastColumn="0"/>
            </w:pPr>
            <w:r>
              <w:t>Terms and conditions</w:t>
            </w:r>
          </w:p>
        </w:tc>
      </w:tr>
      <w:tr w:rsidR="00892E7C" w14:paraId="7CC3AFCD" w14:textId="77777777" w:rsidTr="00A46E2A">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6AE79C1" w14:textId="381C8D28" w:rsidR="00892E7C" w:rsidRPr="00FF741C" w:rsidRDefault="00663B0D" w:rsidP="00A46E2A">
            <w:pPr>
              <w:spacing w:before="120" w:after="120"/>
              <w:contextualSpacing/>
              <w:rPr>
                <w:b w:val="0"/>
                <w:bCs w:val="0"/>
                <w:sz w:val="18"/>
                <w:szCs w:val="18"/>
              </w:rPr>
            </w:pPr>
            <w:r w:rsidRPr="00FF741C">
              <w:rPr>
                <w:b w:val="0"/>
                <w:bCs w:val="0"/>
                <w:sz w:val="18"/>
                <w:szCs w:val="18"/>
              </w:rPr>
              <w:t>C</w:t>
            </w:r>
            <w:r w:rsidR="009A526B" w:rsidRPr="00FF741C">
              <w:rPr>
                <w:b w:val="0"/>
                <w:bCs w:val="0"/>
                <w:sz w:val="18"/>
                <w:szCs w:val="18"/>
              </w:rPr>
              <w:t>lass waiver from clauses 3.1</w:t>
            </w:r>
            <w:r w:rsidR="00236B3A" w:rsidRPr="00FF741C">
              <w:rPr>
                <w:b w:val="0"/>
                <w:bCs w:val="0"/>
                <w:sz w:val="18"/>
                <w:szCs w:val="18"/>
              </w:rPr>
              <w:t>,</w:t>
            </w:r>
            <w:r w:rsidR="009A526B" w:rsidRPr="00FF741C">
              <w:rPr>
                <w:b w:val="0"/>
                <w:bCs w:val="0"/>
                <w:sz w:val="18"/>
                <w:szCs w:val="18"/>
              </w:rPr>
              <w:t xml:space="preserve"> 4.2.1 and 4.2.2 of the Guideline, effective from 3 February 2023 to 30 June 2041, for DNSP-led projects that meet the classes and criteria of this waiver.</w:t>
            </w:r>
          </w:p>
        </w:tc>
        <w:tc>
          <w:tcPr>
            <w:tcW w:w="7654" w:type="dxa"/>
            <w:shd w:val="clear" w:color="auto" w:fill="auto"/>
          </w:tcPr>
          <w:p w14:paraId="6C4D2C3C" w14:textId="07C07D88" w:rsidR="00B3669A" w:rsidRPr="00FF741C" w:rsidRDefault="00B3669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scope of this class waiver is limited to DNSP-led projects where the battery asset is funded under the Australian Government’s Community Batteries for Household Solar Program (administered by the Business Grants Hub or ARENA), where: </w:t>
            </w:r>
          </w:p>
          <w:p w14:paraId="09987D5B" w14:textId="6ACFE005" w:rsidR="00B3669A" w:rsidRPr="00FF741C" w:rsidRDefault="00B3669A" w:rsidP="00A46E2A">
            <w:pPr>
              <w:pStyle w:val="ListParagraph"/>
              <w:numPr>
                <w:ilvl w:val="0"/>
                <w:numId w:val="42"/>
              </w:numPr>
              <w:spacing w:before="120" w:after="120"/>
              <w:ind w:left="460" w:hanging="426"/>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asset is wholly excluded from the DNSP’s RAB; or </w:t>
            </w:r>
          </w:p>
          <w:p w14:paraId="3F007F58" w14:textId="34832BBE" w:rsidR="00B3669A" w:rsidRPr="00FF741C" w:rsidRDefault="00B3669A" w:rsidP="00A46E2A">
            <w:pPr>
              <w:pStyle w:val="ListParagraph"/>
              <w:numPr>
                <w:ilvl w:val="0"/>
                <w:numId w:val="42"/>
              </w:numPr>
              <w:spacing w:before="120" w:after="120"/>
              <w:ind w:left="460" w:hanging="426"/>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what is allocated to the DNSP’s RAB is only the part of the total cost of the asset that reflects the proportionate share (that relates to direct control services) of the total quantified benefit that is forecast at the time the investment decision is made, where: </w:t>
            </w:r>
          </w:p>
          <w:p w14:paraId="66127EE5" w14:textId="34900190"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prior to the RAB allocation at the DNSP’s next regulatory proposal, the DNSP includes in its regulatory proposal evidence, and a report from an independent auditor, that confirms compliance with this provision b); </w:t>
            </w:r>
          </w:p>
          <w:p w14:paraId="4EBDB0C9" w14:textId="4A98FF96"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DNSP may use the Government contribution to offset costs (regulated or unregulated) either partially or fully but may not exceed the total cost allocation to a particular stack (regulated or unregulated);  </w:t>
            </w:r>
          </w:p>
          <w:p w14:paraId="71D89D1F" w14:textId="58619735"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cost of the battery allocated to the RAB must be an amount equal to or less than the forecast network benefit; and </w:t>
            </w:r>
          </w:p>
          <w:p w14:paraId="1A02164B" w14:textId="651EE21E"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definitions: </w:t>
            </w:r>
          </w:p>
          <w:p w14:paraId="5EDC8D9E" w14:textId="1F8DA384" w:rsidR="0029757A" w:rsidRPr="00FF741C" w:rsidRDefault="00B3669A" w:rsidP="00A46E2A">
            <w:pPr>
              <w:pStyle w:val="ListBullet"/>
              <w:tabs>
                <w:tab w:val="clear" w:pos="340"/>
                <w:tab w:val="num" w:pos="1168"/>
              </w:tabs>
              <w:spacing w:before="120" w:after="120" w:afterAutospacing="0"/>
              <w:ind w:left="1168" w:hanging="283"/>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is the sum of both the forecast network benefit (quantified benefit derived from the deployment of the asset for direct control services) and the forecast non-network benefit (quantified benefit accruing to the DNSP derived from the deployment of the asset for other distribution service and other services) over its economic life. </w:t>
            </w:r>
          </w:p>
          <w:p w14:paraId="1647CACD" w14:textId="77777777" w:rsidR="0029757A" w:rsidRPr="00FF741C" w:rsidRDefault="0029757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14E361CC" w14:textId="2A09ACC8" w:rsidR="0029757A" w:rsidRPr="00FF741C" w:rsidRDefault="00B3669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following criteria apply to projects that fall within class (b): </w:t>
            </w:r>
          </w:p>
          <w:p w14:paraId="0BBEB4D6" w14:textId="21A5254A" w:rsidR="0029757A" w:rsidRPr="00FF741C" w:rsidRDefault="00B3669A" w:rsidP="00A46E2A">
            <w:pPr>
              <w:pStyle w:val="ListParagraph"/>
              <w:numPr>
                <w:ilvl w:val="0"/>
                <w:numId w:val="44"/>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comply with the Cost Allocation Principles that require a DNSP to appropriately allocate and attribute costs for use of the asset between direct control services, other distribution services, and other services. </w:t>
            </w:r>
          </w:p>
          <w:p w14:paraId="5794494B" w14:textId="77777777" w:rsidR="00933D74" w:rsidRPr="00FF741C" w:rsidRDefault="00933D74" w:rsidP="00A46E2A">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sz w:val="18"/>
                <w:szCs w:val="18"/>
              </w:rPr>
            </w:pPr>
          </w:p>
          <w:p w14:paraId="729FF3B3" w14:textId="44D17498" w:rsidR="0029757A" w:rsidRPr="00FF741C" w:rsidRDefault="00B3669A" w:rsidP="00A46E2A">
            <w:pPr>
              <w:pStyle w:val="ListParagraph"/>
              <w:numPr>
                <w:ilvl w:val="0"/>
                <w:numId w:val="44"/>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provide, as part of that DNSP’s independently audited annual ring-fencing compliance report that is required under clause 6.2 if the Guideline. </w:t>
            </w:r>
          </w:p>
          <w:p w14:paraId="41050769" w14:textId="42F5363B"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or all services over the most recent financial year; </w:t>
            </w:r>
          </w:p>
          <w:p w14:paraId="01E465B3" w14:textId="7321A691"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from direct control services over the most recent financial year; </w:t>
            </w:r>
          </w:p>
          <w:p w14:paraId="78F86C2F" w14:textId="25742B12"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from other distribution services and other services over the most recent financial year; and </w:t>
            </w:r>
          </w:p>
          <w:p w14:paraId="148DD930" w14:textId="756F1B78" w:rsidR="00892E7C"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a comparison of the uses (volume and frequency) of the battery that confirms the usage by the DNSP and usage by its retail partner (or other third party), including the initial proposed allocation as a baseline against which actual usage of the assets can be compared.</w:t>
            </w:r>
          </w:p>
          <w:p w14:paraId="2B0F3E13" w14:textId="77777777" w:rsidR="005402D7" w:rsidRPr="00FF741C" w:rsidRDefault="005402D7"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31EF9E1C" w14:textId="05752D82" w:rsidR="005402D7" w:rsidRPr="00FF741C" w:rsidRDefault="005402D7"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following criteria will apply to projects which fall within class (a) or (b): </w:t>
            </w:r>
          </w:p>
          <w:p w14:paraId="6AB74008" w14:textId="08957412" w:rsidR="005402D7" w:rsidRPr="00FF741C" w:rsidRDefault="005402D7" w:rsidP="00A46E2A">
            <w:pPr>
              <w:pStyle w:val="ListParagraph"/>
              <w:numPr>
                <w:ilvl w:val="0"/>
                <w:numId w:val="44"/>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provide the AER with information as to the terms and conditions of the contracts entered into with third parties for the leasing of battery capacity. This information should include: </w:t>
            </w:r>
          </w:p>
          <w:p w14:paraId="6A55B4F0" w14:textId="1ACCD81F"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name of the contracting party or parties; </w:t>
            </w:r>
          </w:p>
          <w:p w14:paraId="3CC92C96" w14:textId="5E0FCE01"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volume of capacity (in kW or kWh) leased to that party or parties; </w:t>
            </w:r>
          </w:p>
          <w:p w14:paraId="10B4D1BC" w14:textId="152852A3"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price the capacity is leased for; and </w:t>
            </w:r>
          </w:p>
          <w:p w14:paraId="6E81987C" w14:textId="48C7B3A5"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which party controls the operation of the battery and on what terms.</w:t>
            </w:r>
          </w:p>
        </w:tc>
      </w:tr>
    </w:tbl>
    <w:p w14:paraId="7A3C34E5" w14:textId="77777777" w:rsidR="0097100A" w:rsidRDefault="0097100A" w:rsidP="0097100A"/>
    <w:p w14:paraId="269D4B05" w14:textId="77777777" w:rsidR="00F54619" w:rsidRDefault="00F54619" w:rsidP="00F54619"/>
    <w:sectPr w:rsidR="00F54619" w:rsidSect="00236B3A">
      <w:footerReference w:type="even" r:id="rId11"/>
      <w:footerReference w:type="default" r:id="rId12"/>
      <w:headerReference w:type="first" r:id="rId13"/>
      <w:footerReference w:type="first" r:id="rId14"/>
      <w:pgSz w:w="11907" w:h="16840" w:code="9"/>
      <w:pgMar w:top="851" w:right="1134" w:bottom="1021"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2198" w14:textId="77777777" w:rsidR="000D5CEB" w:rsidRDefault="000D5CEB">
      <w:r>
        <w:separator/>
      </w:r>
    </w:p>
  </w:endnote>
  <w:endnote w:type="continuationSeparator" w:id="0">
    <w:p w14:paraId="6F43EB38" w14:textId="77777777" w:rsidR="000D5CEB" w:rsidRDefault="000D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B9E"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0FF5"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D6D7"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B1FD" w14:textId="77777777" w:rsidR="000D5CEB" w:rsidRPr="00C448BB" w:rsidRDefault="000D5CEB" w:rsidP="00C448BB">
      <w:pPr>
        <w:pStyle w:val="FootnoteSeparator"/>
      </w:pPr>
    </w:p>
  </w:footnote>
  <w:footnote w:type="continuationSeparator" w:id="0">
    <w:p w14:paraId="6219A07E" w14:textId="77777777" w:rsidR="000D5CEB" w:rsidRDefault="000D5CEB" w:rsidP="00C448BB">
      <w:pPr>
        <w:pStyle w:val="FootnoteSeparator"/>
      </w:pPr>
    </w:p>
  </w:footnote>
  <w:footnote w:type="continuationNotice" w:id="1">
    <w:p w14:paraId="006EDC63" w14:textId="77777777" w:rsidR="000D5CEB" w:rsidRDefault="000D5C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D50D"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4E3F9C68" wp14:editId="79602B47">
          <wp:simplePos x="0" y="0"/>
          <wp:positionH relativeFrom="page">
            <wp:align>right</wp:align>
          </wp:positionH>
          <wp:positionV relativeFrom="page">
            <wp:align>top</wp:align>
          </wp:positionV>
          <wp:extent cx="15116400" cy="122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79693967" wp14:editId="54CC12F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3967" id="_x0000_t202" coordsize="21600,21600" o:spt="202" path="m,l,21600r21600,l21600,xe">
              <v:stroke joinstyle="miter"/>
              <v:path gradientshapeok="t" o:connecttype="rect"/>
            </v:shapetype>
            <v:shape id="Text Box 1" o:spid="_x0000_s1026"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A175887"/>
    <w:multiLevelType w:val="hybridMultilevel"/>
    <w:tmpl w:val="F85699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7" w15:restartNumberingAfterBreak="0">
    <w:nsid w:val="102805B6"/>
    <w:multiLevelType w:val="hybridMultilevel"/>
    <w:tmpl w:val="5C4425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1C5CDC"/>
    <w:multiLevelType w:val="hybridMultilevel"/>
    <w:tmpl w:val="B89E0F40"/>
    <w:lvl w:ilvl="0" w:tplc="0C090017">
      <w:start w:val="1"/>
      <w:numFmt w:val="lowerLetter"/>
      <w:lvlText w:val="%1)"/>
      <w:lvlJc w:val="left"/>
      <w:pPr>
        <w:ind w:left="720" w:hanging="360"/>
      </w:pPr>
      <w:rPr>
        <w:rFonts w:hint="default"/>
      </w:rPr>
    </w:lvl>
    <w:lvl w:ilvl="1" w:tplc="472CD2F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280374"/>
    <w:multiLevelType w:val="hybridMultilevel"/>
    <w:tmpl w:val="D2DE2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23B105C6"/>
    <w:multiLevelType w:val="hybridMultilevel"/>
    <w:tmpl w:val="61B2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F022D67"/>
    <w:multiLevelType w:val="hybridMultilevel"/>
    <w:tmpl w:val="90A6BE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6" w15:restartNumberingAfterBreak="0">
    <w:nsid w:val="31C17D8F"/>
    <w:multiLevelType w:val="hybridMultilevel"/>
    <w:tmpl w:val="55946F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434358"/>
    <w:multiLevelType w:val="hybridMultilevel"/>
    <w:tmpl w:val="9BD487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4E6A80"/>
    <w:multiLevelType w:val="hybridMultilevel"/>
    <w:tmpl w:val="0E2AD2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2C76C65"/>
    <w:multiLevelType w:val="hybridMultilevel"/>
    <w:tmpl w:val="6A4AF6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30" w15:restartNumberingAfterBreak="0">
    <w:nsid w:val="66092E3A"/>
    <w:multiLevelType w:val="hybridMultilevel"/>
    <w:tmpl w:val="2C46D7C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1543322033">
    <w:abstractNumId w:val="6"/>
  </w:num>
  <w:num w:numId="2" w16cid:durableId="1628584406">
    <w:abstractNumId w:val="20"/>
  </w:num>
  <w:num w:numId="3" w16cid:durableId="1175460278">
    <w:abstractNumId w:val="4"/>
  </w:num>
  <w:num w:numId="4" w16cid:durableId="1860315545">
    <w:abstractNumId w:val="33"/>
  </w:num>
  <w:num w:numId="5" w16cid:durableId="1756515869">
    <w:abstractNumId w:val="31"/>
  </w:num>
  <w:num w:numId="6" w16cid:durableId="1586649607">
    <w:abstractNumId w:val="18"/>
  </w:num>
  <w:num w:numId="7" w16cid:durableId="868684805">
    <w:abstractNumId w:val="24"/>
  </w:num>
  <w:num w:numId="8" w16cid:durableId="1735546165">
    <w:abstractNumId w:val="29"/>
  </w:num>
  <w:num w:numId="9" w16cid:durableId="2006740853">
    <w:abstractNumId w:val="10"/>
  </w:num>
  <w:num w:numId="10" w16cid:durableId="2061247728">
    <w:abstractNumId w:val="6"/>
  </w:num>
  <w:num w:numId="11" w16cid:durableId="1085105062">
    <w:abstractNumId w:val="27"/>
  </w:num>
  <w:num w:numId="12" w16cid:durableId="476381659">
    <w:abstractNumId w:val="17"/>
  </w:num>
  <w:num w:numId="13" w16cid:durableId="14360534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4918463">
    <w:abstractNumId w:val="22"/>
  </w:num>
  <w:num w:numId="15" w16cid:durableId="877283601">
    <w:abstractNumId w:val="3"/>
  </w:num>
  <w:num w:numId="16" w16cid:durableId="1660765782">
    <w:abstractNumId w:val="2"/>
  </w:num>
  <w:num w:numId="17" w16cid:durableId="106320985">
    <w:abstractNumId w:val="1"/>
  </w:num>
  <w:num w:numId="18" w16cid:durableId="1539976040">
    <w:abstractNumId w:val="0"/>
  </w:num>
  <w:num w:numId="19" w16cid:durableId="509494322">
    <w:abstractNumId w:val="11"/>
  </w:num>
  <w:num w:numId="20" w16cid:durableId="1400982292">
    <w:abstractNumId w:val="15"/>
  </w:num>
  <w:num w:numId="21" w16cid:durableId="591015643">
    <w:abstractNumId w:val="25"/>
  </w:num>
  <w:num w:numId="22" w16cid:durableId="15591675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2553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50025">
    <w:abstractNumId w:val="28"/>
  </w:num>
  <w:num w:numId="25" w16cid:durableId="1296108968">
    <w:abstractNumId w:val="28"/>
  </w:num>
  <w:num w:numId="26" w16cid:durableId="52315845">
    <w:abstractNumId w:val="28"/>
  </w:num>
  <w:num w:numId="27" w16cid:durableId="17953653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3708666">
    <w:abstractNumId w:val="21"/>
  </w:num>
  <w:num w:numId="29" w16cid:durableId="1188955614">
    <w:abstractNumId w:val="32"/>
  </w:num>
  <w:num w:numId="30" w16cid:durableId="1221645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058967">
    <w:abstractNumId w:val="33"/>
  </w:num>
  <w:num w:numId="32" w16cid:durableId="101921768">
    <w:abstractNumId w:val="33"/>
  </w:num>
  <w:num w:numId="33" w16cid:durableId="1123688600">
    <w:abstractNumId w:val="33"/>
  </w:num>
  <w:num w:numId="34" w16cid:durableId="1296908634">
    <w:abstractNumId w:val="13"/>
  </w:num>
  <w:num w:numId="35" w16cid:durableId="1598949953">
    <w:abstractNumId w:val="27"/>
  </w:num>
  <w:num w:numId="36" w16cid:durableId="984818591">
    <w:abstractNumId w:val="27"/>
  </w:num>
  <w:num w:numId="37" w16cid:durableId="1513449716">
    <w:abstractNumId w:val="27"/>
  </w:num>
  <w:num w:numId="38" w16cid:durableId="90592313">
    <w:abstractNumId w:val="27"/>
  </w:num>
  <w:num w:numId="39" w16cid:durableId="54280215">
    <w:abstractNumId w:val="27"/>
  </w:num>
  <w:num w:numId="40" w16cid:durableId="530609367">
    <w:abstractNumId w:val="12"/>
  </w:num>
  <w:num w:numId="41" w16cid:durableId="1499883484">
    <w:abstractNumId w:val="16"/>
  </w:num>
  <w:num w:numId="42" w16cid:durableId="1509519776">
    <w:abstractNumId w:val="30"/>
  </w:num>
  <w:num w:numId="43" w16cid:durableId="287052924">
    <w:abstractNumId w:val="8"/>
  </w:num>
  <w:num w:numId="44" w16cid:durableId="163588565">
    <w:abstractNumId w:val="7"/>
  </w:num>
  <w:num w:numId="45" w16cid:durableId="333076518">
    <w:abstractNumId w:val="9"/>
  </w:num>
  <w:num w:numId="46" w16cid:durableId="1886523701">
    <w:abstractNumId w:val="23"/>
  </w:num>
  <w:num w:numId="47" w16cid:durableId="107747360">
    <w:abstractNumId w:val="26"/>
  </w:num>
  <w:num w:numId="48" w16cid:durableId="337317418">
    <w:abstractNumId w:val="5"/>
  </w:num>
  <w:num w:numId="49" w16cid:durableId="1330059002">
    <w:abstractNumId w:val="19"/>
  </w:num>
  <w:num w:numId="50" w16cid:durableId="146670077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mirrorMargins/>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97100A"/>
    <w:rsid w:val="0000017F"/>
    <w:rsid w:val="00000279"/>
    <w:rsid w:val="000004BD"/>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4F5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864"/>
    <w:rsid w:val="000473A1"/>
    <w:rsid w:val="0004761D"/>
    <w:rsid w:val="00047CE9"/>
    <w:rsid w:val="000501F1"/>
    <w:rsid w:val="00050257"/>
    <w:rsid w:val="00050487"/>
    <w:rsid w:val="000504A5"/>
    <w:rsid w:val="000507C3"/>
    <w:rsid w:val="00052234"/>
    <w:rsid w:val="00052630"/>
    <w:rsid w:val="00052C61"/>
    <w:rsid w:val="00053244"/>
    <w:rsid w:val="00053C43"/>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CDF"/>
    <w:rsid w:val="00072E02"/>
    <w:rsid w:val="00073536"/>
    <w:rsid w:val="00073956"/>
    <w:rsid w:val="00073963"/>
    <w:rsid w:val="00073A9B"/>
    <w:rsid w:val="00073F07"/>
    <w:rsid w:val="00073F9C"/>
    <w:rsid w:val="000742AF"/>
    <w:rsid w:val="00074430"/>
    <w:rsid w:val="00074A1F"/>
    <w:rsid w:val="00074C2B"/>
    <w:rsid w:val="000752FC"/>
    <w:rsid w:val="00075CE0"/>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5CEB"/>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ACC"/>
    <w:rsid w:val="00124482"/>
    <w:rsid w:val="00124797"/>
    <w:rsid w:val="00124C3D"/>
    <w:rsid w:val="00124D82"/>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F44"/>
    <w:rsid w:val="00155B6F"/>
    <w:rsid w:val="0015661D"/>
    <w:rsid w:val="001568CE"/>
    <w:rsid w:val="00157E61"/>
    <w:rsid w:val="00157E78"/>
    <w:rsid w:val="00160ED7"/>
    <w:rsid w:val="001619E0"/>
    <w:rsid w:val="00161E60"/>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0BA"/>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AE6"/>
    <w:rsid w:val="00212DA6"/>
    <w:rsid w:val="00213289"/>
    <w:rsid w:val="00213B45"/>
    <w:rsid w:val="002147CA"/>
    <w:rsid w:val="002154DF"/>
    <w:rsid w:val="002158A2"/>
    <w:rsid w:val="00215CE4"/>
    <w:rsid w:val="00215E20"/>
    <w:rsid w:val="0021610D"/>
    <w:rsid w:val="002165C1"/>
    <w:rsid w:val="00216A8E"/>
    <w:rsid w:val="00217538"/>
    <w:rsid w:val="00217563"/>
    <w:rsid w:val="00217DA5"/>
    <w:rsid w:val="00217EC2"/>
    <w:rsid w:val="00220268"/>
    <w:rsid w:val="00220ED6"/>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B3A"/>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B67"/>
    <w:rsid w:val="00254DE3"/>
    <w:rsid w:val="0025505F"/>
    <w:rsid w:val="002550FF"/>
    <w:rsid w:val="002559A3"/>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C0D"/>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318B"/>
    <w:rsid w:val="00293680"/>
    <w:rsid w:val="002942A8"/>
    <w:rsid w:val="0029457A"/>
    <w:rsid w:val="00294BC0"/>
    <w:rsid w:val="00294C41"/>
    <w:rsid w:val="0029505A"/>
    <w:rsid w:val="002958B8"/>
    <w:rsid w:val="00295F12"/>
    <w:rsid w:val="00296613"/>
    <w:rsid w:val="002972FC"/>
    <w:rsid w:val="00297462"/>
    <w:rsid w:val="0029757A"/>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CFA"/>
    <w:rsid w:val="002B171F"/>
    <w:rsid w:val="002B1C2D"/>
    <w:rsid w:val="002B1DB7"/>
    <w:rsid w:val="002B1DE7"/>
    <w:rsid w:val="002B1F25"/>
    <w:rsid w:val="002B25C0"/>
    <w:rsid w:val="002B2FCD"/>
    <w:rsid w:val="002B32A8"/>
    <w:rsid w:val="002B3565"/>
    <w:rsid w:val="002B407B"/>
    <w:rsid w:val="002B407C"/>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B5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044"/>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290"/>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5E4"/>
    <w:rsid w:val="00320D1D"/>
    <w:rsid w:val="00320E0A"/>
    <w:rsid w:val="00321131"/>
    <w:rsid w:val="00321137"/>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DDE"/>
    <w:rsid w:val="003468F1"/>
    <w:rsid w:val="00346F16"/>
    <w:rsid w:val="00346F99"/>
    <w:rsid w:val="0034750A"/>
    <w:rsid w:val="00347BA8"/>
    <w:rsid w:val="00347E3E"/>
    <w:rsid w:val="00350C48"/>
    <w:rsid w:val="003511D3"/>
    <w:rsid w:val="00351B24"/>
    <w:rsid w:val="00352130"/>
    <w:rsid w:val="00352289"/>
    <w:rsid w:val="00352C21"/>
    <w:rsid w:val="00353573"/>
    <w:rsid w:val="00353707"/>
    <w:rsid w:val="003555CC"/>
    <w:rsid w:val="003561B4"/>
    <w:rsid w:val="003574ED"/>
    <w:rsid w:val="003576A7"/>
    <w:rsid w:val="003576FA"/>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34D"/>
    <w:rsid w:val="003845A7"/>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A14"/>
    <w:rsid w:val="003C3BC2"/>
    <w:rsid w:val="003C3C33"/>
    <w:rsid w:val="003C3F27"/>
    <w:rsid w:val="003C474B"/>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D95"/>
    <w:rsid w:val="00442FB4"/>
    <w:rsid w:val="004430B1"/>
    <w:rsid w:val="00443310"/>
    <w:rsid w:val="00445CA0"/>
    <w:rsid w:val="00446176"/>
    <w:rsid w:val="004464A2"/>
    <w:rsid w:val="00447B50"/>
    <w:rsid w:val="00447BD5"/>
    <w:rsid w:val="0045004D"/>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F29"/>
    <w:rsid w:val="004B0796"/>
    <w:rsid w:val="004B09F7"/>
    <w:rsid w:val="004B0E07"/>
    <w:rsid w:val="004B10EC"/>
    <w:rsid w:val="004B141F"/>
    <w:rsid w:val="004B1491"/>
    <w:rsid w:val="004B16BA"/>
    <w:rsid w:val="004B1E8C"/>
    <w:rsid w:val="004B2D44"/>
    <w:rsid w:val="004B3987"/>
    <w:rsid w:val="004B3A9B"/>
    <w:rsid w:val="004B3C6B"/>
    <w:rsid w:val="004B44C5"/>
    <w:rsid w:val="004B4B80"/>
    <w:rsid w:val="004B55DC"/>
    <w:rsid w:val="004B72AA"/>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C55"/>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9B5"/>
    <w:rsid w:val="005019C0"/>
    <w:rsid w:val="0050225A"/>
    <w:rsid w:val="00502F97"/>
    <w:rsid w:val="00503352"/>
    <w:rsid w:val="005033D8"/>
    <w:rsid w:val="00503662"/>
    <w:rsid w:val="00503F00"/>
    <w:rsid w:val="00505460"/>
    <w:rsid w:val="00505CE1"/>
    <w:rsid w:val="00506058"/>
    <w:rsid w:val="005062DD"/>
    <w:rsid w:val="00506A1F"/>
    <w:rsid w:val="00506D8A"/>
    <w:rsid w:val="00507001"/>
    <w:rsid w:val="005077C6"/>
    <w:rsid w:val="00507CFB"/>
    <w:rsid w:val="00510245"/>
    <w:rsid w:val="0051067C"/>
    <w:rsid w:val="00510833"/>
    <w:rsid w:val="005108EF"/>
    <w:rsid w:val="00510A01"/>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2D7"/>
    <w:rsid w:val="00540758"/>
    <w:rsid w:val="00540776"/>
    <w:rsid w:val="005407D4"/>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255F"/>
    <w:rsid w:val="0056269B"/>
    <w:rsid w:val="0056298E"/>
    <w:rsid w:val="00562C8B"/>
    <w:rsid w:val="00563627"/>
    <w:rsid w:val="0056396A"/>
    <w:rsid w:val="005641CA"/>
    <w:rsid w:val="00564478"/>
    <w:rsid w:val="00564CE1"/>
    <w:rsid w:val="00565127"/>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C8C"/>
    <w:rsid w:val="00597D3A"/>
    <w:rsid w:val="005A02B2"/>
    <w:rsid w:val="005A0352"/>
    <w:rsid w:val="005A06A5"/>
    <w:rsid w:val="005A1C96"/>
    <w:rsid w:val="005A21FA"/>
    <w:rsid w:val="005A24B9"/>
    <w:rsid w:val="005A274F"/>
    <w:rsid w:val="005A2951"/>
    <w:rsid w:val="005A2CB7"/>
    <w:rsid w:val="005A3174"/>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0D08"/>
    <w:rsid w:val="005D1075"/>
    <w:rsid w:val="005D1248"/>
    <w:rsid w:val="005D12C4"/>
    <w:rsid w:val="005D1494"/>
    <w:rsid w:val="005D2102"/>
    <w:rsid w:val="005D2885"/>
    <w:rsid w:val="005D395A"/>
    <w:rsid w:val="005D48A2"/>
    <w:rsid w:val="005D497A"/>
    <w:rsid w:val="005D4A08"/>
    <w:rsid w:val="005D4AA8"/>
    <w:rsid w:val="005D62B3"/>
    <w:rsid w:val="005D67C5"/>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AEA"/>
    <w:rsid w:val="00611B10"/>
    <w:rsid w:val="00611D72"/>
    <w:rsid w:val="00611ED0"/>
    <w:rsid w:val="0061201A"/>
    <w:rsid w:val="006120DB"/>
    <w:rsid w:val="00612DE6"/>
    <w:rsid w:val="00613A36"/>
    <w:rsid w:val="00614254"/>
    <w:rsid w:val="0061433C"/>
    <w:rsid w:val="0061445B"/>
    <w:rsid w:val="00614C53"/>
    <w:rsid w:val="00615263"/>
    <w:rsid w:val="00615AD4"/>
    <w:rsid w:val="0061619C"/>
    <w:rsid w:val="00616BFE"/>
    <w:rsid w:val="00616DAA"/>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35F7"/>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3B0D"/>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13EB"/>
    <w:rsid w:val="006817C4"/>
    <w:rsid w:val="006819A9"/>
    <w:rsid w:val="00681E17"/>
    <w:rsid w:val="00682292"/>
    <w:rsid w:val="00682478"/>
    <w:rsid w:val="00682A59"/>
    <w:rsid w:val="00682BD8"/>
    <w:rsid w:val="0068306F"/>
    <w:rsid w:val="0068345F"/>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BC9"/>
    <w:rsid w:val="006A7CF4"/>
    <w:rsid w:val="006B00A9"/>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67A"/>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A9"/>
    <w:rsid w:val="006E29C7"/>
    <w:rsid w:val="006E2A46"/>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6F7C"/>
    <w:rsid w:val="00727294"/>
    <w:rsid w:val="00727346"/>
    <w:rsid w:val="00727BF4"/>
    <w:rsid w:val="00727D59"/>
    <w:rsid w:val="007312FD"/>
    <w:rsid w:val="00732185"/>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37D"/>
    <w:rsid w:val="00737962"/>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12BF"/>
    <w:rsid w:val="0077170E"/>
    <w:rsid w:val="0077186C"/>
    <w:rsid w:val="00771F80"/>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757"/>
    <w:rsid w:val="0079279B"/>
    <w:rsid w:val="00792A52"/>
    <w:rsid w:val="00792BEF"/>
    <w:rsid w:val="00792E00"/>
    <w:rsid w:val="00793018"/>
    <w:rsid w:val="00793602"/>
    <w:rsid w:val="007939F0"/>
    <w:rsid w:val="007943AF"/>
    <w:rsid w:val="0079448C"/>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F8D"/>
    <w:rsid w:val="007D3EBD"/>
    <w:rsid w:val="007D45FF"/>
    <w:rsid w:val="007D4AB6"/>
    <w:rsid w:val="007D4B22"/>
    <w:rsid w:val="007D4C59"/>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5F2"/>
    <w:rsid w:val="007E3F5A"/>
    <w:rsid w:val="007E5278"/>
    <w:rsid w:val="007E536E"/>
    <w:rsid w:val="007E5C43"/>
    <w:rsid w:val="007E5F8D"/>
    <w:rsid w:val="007E6276"/>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6D7"/>
    <w:rsid w:val="007F6F7A"/>
    <w:rsid w:val="007F7420"/>
    <w:rsid w:val="008000C5"/>
    <w:rsid w:val="0080066D"/>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4171"/>
    <w:rsid w:val="00824EDE"/>
    <w:rsid w:val="0082545D"/>
    <w:rsid w:val="00825489"/>
    <w:rsid w:val="00825D71"/>
    <w:rsid w:val="00825DF1"/>
    <w:rsid w:val="0082647E"/>
    <w:rsid w:val="0082677C"/>
    <w:rsid w:val="008273E7"/>
    <w:rsid w:val="00827625"/>
    <w:rsid w:val="008276EA"/>
    <w:rsid w:val="00827CEB"/>
    <w:rsid w:val="008300F0"/>
    <w:rsid w:val="00830404"/>
    <w:rsid w:val="008307A6"/>
    <w:rsid w:val="00830B7E"/>
    <w:rsid w:val="0083118D"/>
    <w:rsid w:val="008313B0"/>
    <w:rsid w:val="00831538"/>
    <w:rsid w:val="00831A6B"/>
    <w:rsid w:val="00831AE0"/>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0F"/>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2E7C"/>
    <w:rsid w:val="008933FC"/>
    <w:rsid w:val="008934CA"/>
    <w:rsid w:val="00893540"/>
    <w:rsid w:val="00893E62"/>
    <w:rsid w:val="008948B8"/>
    <w:rsid w:val="00895015"/>
    <w:rsid w:val="0089550A"/>
    <w:rsid w:val="00895DD3"/>
    <w:rsid w:val="00896414"/>
    <w:rsid w:val="008969D6"/>
    <w:rsid w:val="008978A8"/>
    <w:rsid w:val="00897A8F"/>
    <w:rsid w:val="00897E3F"/>
    <w:rsid w:val="00897EE1"/>
    <w:rsid w:val="008A0295"/>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836"/>
    <w:rsid w:val="008B1A1D"/>
    <w:rsid w:val="008B1F69"/>
    <w:rsid w:val="008B1FC0"/>
    <w:rsid w:val="008B1FE2"/>
    <w:rsid w:val="008B2035"/>
    <w:rsid w:val="008B2402"/>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2"/>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28C2"/>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3FC2"/>
    <w:rsid w:val="008F4787"/>
    <w:rsid w:val="008F4C6F"/>
    <w:rsid w:val="008F50A6"/>
    <w:rsid w:val="008F51FC"/>
    <w:rsid w:val="008F5CA9"/>
    <w:rsid w:val="008F64A9"/>
    <w:rsid w:val="008F677C"/>
    <w:rsid w:val="008F68C6"/>
    <w:rsid w:val="008F6979"/>
    <w:rsid w:val="008F6A1C"/>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8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1AC"/>
    <w:rsid w:val="009255EB"/>
    <w:rsid w:val="00925EA0"/>
    <w:rsid w:val="00926150"/>
    <w:rsid w:val="00926221"/>
    <w:rsid w:val="009262FE"/>
    <w:rsid w:val="00926B1B"/>
    <w:rsid w:val="00927A7F"/>
    <w:rsid w:val="00927C36"/>
    <w:rsid w:val="009304ED"/>
    <w:rsid w:val="00930CD3"/>
    <w:rsid w:val="0093183F"/>
    <w:rsid w:val="00931850"/>
    <w:rsid w:val="0093220A"/>
    <w:rsid w:val="00932326"/>
    <w:rsid w:val="0093295F"/>
    <w:rsid w:val="009329EE"/>
    <w:rsid w:val="00932B0C"/>
    <w:rsid w:val="00932DED"/>
    <w:rsid w:val="009331EA"/>
    <w:rsid w:val="009336CF"/>
    <w:rsid w:val="00933732"/>
    <w:rsid w:val="009337C6"/>
    <w:rsid w:val="00933BEE"/>
    <w:rsid w:val="00933D74"/>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822"/>
    <w:rsid w:val="00970B6A"/>
    <w:rsid w:val="00970CC4"/>
    <w:rsid w:val="00970D7B"/>
    <w:rsid w:val="0097100A"/>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40EB"/>
    <w:rsid w:val="00984DFF"/>
    <w:rsid w:val="0098555E"/>
    <w:rsid w:val="00986423"/>
    <w:rsid w:val="00986D0E"/>
    <w:rsid w:val="009871C5"/>
    <w:rsid w:val="0098742C"/>
    <w:rsid w:val="0098765F"/>
    <w:rsid w:val="00987688"/>
    <w:rsid w:val="00987A47"/>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26B"/>
    <w:rsid w:val="009A5D79"/>
    <w:rsid w:val="009A608A"/>
    <w:rsid w:val="009A62E0"/>
    <w:rsid w:val="009A6354"/>
    <w:rsid w:val="009A64BF"/>
    <w:rsid w:val="009A6BD5"/>
    <w:rsid w:val="009A74C3"/>
    <w:rsid w:val="009A7D1C"/>
    <w:rsid w:val="009B0580"/>
    <w:rsid w:val="009B0714"/>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C59"/>
    <w:rsid w:val="009D0E38"/>
    <w:rsid w:val="009D0E99"/>
    <w:rsid w:val="009D0F7A"/>
    <w:rsid w:val="009D1640"/>
    <w:rsid w:val="009D1A2B"/>
    <w:rsid w:val="009D244A"/>
    <w:rsid w:val="009D27D6"/>
    <w:rsid w:val="009D3554"/>
    <w:rsid w:val="009D4157"/>
    <w:rsid w:val="009D434D"/>
    <w:rsid w:val="009D4394"/>
    <w:rsid w:val="009D45AE"/>
    <w:rsid w:val="009D50B3"/>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633"/>
    <w:rsid w:val="009F4EA8"/>
    <w:rsid w:val="009F5CF0"/>
    <w:rsid w:val="009F5E97"/>
    <w:rsid w:val="009F61A9"/>
    <w:rsid w:val="009F68BB"/>
    <w:rsid w:val="009F6F55"/>
    <w:rsid w:val="009F71DE"/>
    <w:rsid w:val="009F7316"/>
    <w:rsid w:val="009F7423"/>
    <w:rsid w:val="00A00531"/>
    <w:rsid w:val="00A01C9C"/>
    <w:rsid w:val="00A0276E"/>
    <w:rsid w:val="00A028C3"/>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6110"/>
    <w:rsid w:val="00A16AB7"/>
    <w:rsid w:val="00A16B92"/>
    <w:rsid w:val="00A1747D"/>
    <w:rsid w:val="00A17AB7"/>
    <w:rsid w:val="00A17CDF"/>
    <w:rsid w:val="00A208AA"/>
    <w:rsid w:val="00A20FFB"/>
    <w:rsid w:val="00A2103D"/>
    <w:rsid w:val="00A21346"/>
    <w:rsid w:val="00A2167F"/>
    <w:rsid w:val="00A219F9"/>
    <w:rsid w:val="00A21F9F"/>
    <w:rsid w:val="00A22B57"/>
    <w:rsid w:val="00A22B9E"/>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54C"/>
    <w:rsid w:val="00A3277A"/>
    <w:rsid w:val="00A33AF9"/>
    <w:rsid w:val="00A33B2D"/>
    <w:rsid w:val="00A33F26"/>
    <w:rsid w:val="00A3438C"/>
    <w:rsid w:val="00A34864"/>
    <w:rsid w:val="00A348E4"/>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6E2A"/>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170"/>
    <w:rsid w:val="00A7545C"/>
    <w:rsid w:val="00A754ED"/>
    <w:rsid w:val="00A756AD"/>
    <w:rsid w:val="00A7645D"/>
    <w:rsid w:val="00A7655A"/>
    <w:rsid w:val="00A76EC8"/>
    <w:rsid w:val="00A774B8"/>
    <w:rsid w:val="00A775A3"/>
    <w:rsid w:val="00A77C0D"/>
    <w:rsid w:val="00A77DBC"/>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8B3"/>
    <w:rsid w:val="00AA68CB"/>
    <w:rsid w:val="00AA6991"/>
    <w:rsid w:val="00AA6C49"/>
    <w:rsid w:val="00AA6C65"/>
    <w:rsid w:val="00AA741E"/>
    <w:rsid w:val="00AA7C65"/>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862"/>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53B1"/>
    <w:rsid w:val="00AE5A7C"/>
    <w:rsid w:val="00AE6090"/>
    <w:rsid w:val="00AE6236"/>
    <w:rsid w:val="00AE6583"/>
    <w:rsid w:val="00AE6630"/>
    <w:rsid w:val="00AE710C"/>
    <w:rsid w:val="00AE77D6"/>
    <w:rsid w:val="00AF0002"/>
    <w:rsid w:val="00AF0C58"/>
    <w:rsid w:val="00AF1079"/>
    <w:rsid w:val="00AF1D5E"/>
    <w:rsid w:val="00AF2484"/>
    <w:rsid w:val="00AF2BC0"/>
    <w:rsid w:val="00AF49EA"/>
    <w:rsid w:val="00AF4F66"/>
    <w:rsid w:val="00AF56B7"/>
    <w:rsid w:val="00AF5AFE"/>
    <w:rsid w:val="00AF666D"/>
    <w:rsid w:val="00AF6804"/>
    <w:rsid w:val="00AF6AA5"/>
    <w:rsid w:val="00AF6AB0"/>
    <w:rsid w:val="00AF6DE2"/>
    <w:rsid w:val="00AF7210"/>
    <w:rsid w:val="00AF7582"/>
    <w:rsid w:val="00AF7CF1"/>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4D1"/>
    <w:rsid w:val="00B31748"/>
    <w:rsid w:val="00B31C36"/>
    <w:rsid w:val="00B31F3C"/>
    <w:rsid w:val="00B33139"/>
    <w:rsid w:val="00B336C5"/>
    <w:rsid w:val="00B33B3A"/>
    <w:rsid w:val="00B34227"/>
    <w:rsid w:val="00B3429A"/>
    <w:rsid w:val="00B3450B"/>
    <w:rsid w:val="00B35C30"/>
    <w:rsid w:val="00B36423"/>
    <w:rsid w:val="00B3655F"/>
    <w:rsid w:val="00B3669A"/>
    <w:rsid w:val="00B370F3"/>
    <w:rsid w:val="00B3722A"/>
    <w:rsid w:val="00B37B74"/>
    <w:rsid w:val="00B37BA4"/>
    <w:rsid w:val="00B4072C"/>
    <w:rsid w:val="00B4095A"/>
    <w:rsid w:val="00B40BBE"/>
    <w:rsid w:val="00B40CAF"/>
    <w:rsid w:val="00B42D85"/>
    <w:rsid w:val="00B4369C"/>
    <w:rsid w:val="00B44444"/>
    <w:rsid w:val="00B4516E"/>
    <w:rsid w:val="00B45389"/>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92F"/>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9D6"/>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A46"/>
    <w:rsid w:val="00BD6D85"/>
    <w:rsid w:val="00BD7C73"/>
    <w:rsid w:val="00BE01AD"/>
    <w:rsid w:val="00BE04A5"/>
    <w:rsid w:val="00BE0A86"/>
    <w:rsid w:val="00BE0BE3"/>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2492"/>
    <w:rsid w:val="00C1322C"/>
    <w:rsid w:val="00C132C8"/>
    <w:rsid w:val="00C134BA"/>
    <w:rsid w:val="00C140F7"/>
    <w:rsid w:val="00C14361"/>
    <w:rsid w:val="00C14669"/>
    <w:rsid w:val="00C14DD9"/>
    <w:rsid w:val="00C150EB"/>
    <w:rsid w:val="00C15A13"/>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D97"/>
    <w:rsid w:val="00C3507E"/>
    <w:rsid w:val="00C35370"/>
    <w:rsid w:val="00C35AC0"/>
    <w:rsid w:val="00C35BCB"/>
    <w:rsid w:val="00C35FAE"/>
    <w:rsid w:val="00C36605"/>
    <w:rsid w:val="00C36B01"/>
    <w:rsid w:val="00C36BCF"/>
    <w:rsid w:val="00C36C82"/>
    <w:rsid w:val="00C3716D"/>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1011"/>
    <w:rsid w:val="00C51174"/>
    <w:rsid w:val="00C515D3"/>
    <w:rsid w:val="00C51B84"/>
    <w:rsid w:val="00C52067"/>
    <w:rsid w:val="00C52634"/>
    <w:rsid w:val="00C52B31"/>
    <w:rsid w:val="00C5304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A5B"/>
    <w:rsid w:val="00C74D6F"/>
    <w:rsid w:val="00C74F1F"/>
    <w:rsid w:val="00C75A98"/>
    <w:rsid w:val="00C75E0F"/>
    <w:rsid w:val="00C76228"/>
    <w:rsid w:val="00C762BE"/>
    <w:rsid w:val="00C763B6"/>
    <w:rsid w:val="00C765D7"/>
    <w:rsid w:val="00C766E2"/>
    <w:rsid w:val="00C77B9A"/>
    <w:rsid w:val="00C80C33"/>
    <w:rsid w:val="00C83B22"/>
    <w:rsid w:val="00C845B7"/>
    <w:rsid w:val="00C858A1"/>
    <w:rsid w:val="00C8600E"/>
    <w:rsid w:val="00C86505"/>
    <w:rsid w:val="00C86F92"/>
    <w:rsid w:val="00C8742E"/>
    <w:rsid w:val="00C874D1"/>
    <w:rsid w:val="00C87A46"/>
    <w:rsid w:val="00C902AA"/>
    <w:rsid w:val="00C9058E"/>
    <w:rsid w:val="00C909AB"/>
    <w:rsid w:val="00C91540"/>
    <w:rsid w:val="00C9158B"/>
    <w:rsid w:val="00C91703"/>
    <w:rsid w:val="00C91B1E"/>
    <w:rsid w:val="00C923FF"/>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3E4E"/>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2F48"/>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47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65DA"/>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CA0"/>
    <w:rsid w:val="00D21CD3"/>
    <w:rsid w:val="00D21E8A"/>
    <w:rsid w:val="00D2267C"/>
    <w:rsid w:val="00D22895"/>
    <w:rsid w:val="00D2333E"/>
    <w:rsid w:val="00D23D0E"/>
    <w:rsid w:val="00D25604"/>
    <w:rsid w:val="00D25B8C"/>
    <w:rsid w:val="00D26FC2"/>
    <w:rsid w:val="00D270B3"/>
    <w:rsid w:val="00D27135"/>
    <w:rsid w:val="00D30DFC"/>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B74"/>
    <w:rsid w:val="00D65C51"/>
    <w:rsid w:val="00D65CD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277"/>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BD0"/>
    <w:rsid w:val="00DC6C10"/>
    <w:rsid w:val="00DC787B"/>
    <w:rsid w:val="00DC78B2"/>
    <w:rsid w:val="00DD09DC"/>
    <w:rsid w:val="00DD12E2"/>
    <w:rsid w:val="00DD16E7"/>
    <w:rsid w:val="00DD1CBF"/>
    <w:rsid w:val="00DD2D60"/>
    <w:rsid w:val="00DD3022"/>
    <w:rsid w:val="00DD319B"/>
    <w:rsid w:val="00DD3361"/>
    <w:rsid w:val="00DD37D5"/>
    <w:rsid w:val="00DD38FB"/>
    <w:rsid w:val="00DD397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2"/>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2C"/>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6901"/>
    <w:rsid w:val="00E46C23"/>
    <w:rsid w:val="00E473E7"/>
    <w:rsid w:val="00E47D1E"/>
    <w:rsid w:val="00E50111"/>
    <w:rsid w:val="00E50CB1"/>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87C48"/>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2ED4"/>
    <w:rsid w:val="00EA3163"/>
    <w:rsid w:val="00EA3498"/>
    <w:rsid w:val="00EA397A"/>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61AD"/>
    <w:rsid w:val="00EE6A67"/>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6C2F"/>
    <w:rsid w:val="00F77896"/>
    <w:rsid w:val="00F77BB3"/>
    <w:rsid w:val="00F80770"/>
    <w:rsid w:val="00F8097E"/>
    <w:rsid w:val="00F8149A"/>
    <w:rsid w:val="00F816B7"/>
    <w:rsid w:val="00F8178C"/>
    <w:rsid w:val="00F8188E"/>
    <w:rsid w:val="00F81E14"/>
    <w:rsid w:val="00F836D5"/>
    <w:rsid w:val="00F85101"/>
    <w:rsid w:val="00F858E0"/>
    <w:rsid w:val="00F864E7"/>
    <w:rsid w:val="00F8670F"/>
    <w:rsid w:val="00F86963"/>
    <w:rsid w:val="00F86C21"/>
    <w:rsid w:val="00F87086"/>
    <w:rsid w:val="00F879CF"/>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2CA"/>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369D"/>
    <w:rsid w:val="00FB409D"/>
    <w:rsid w:val="00FB4272"/>
    <w:rsid w:val="00FB439B"/>
    <w:rsid w:val="00FB546C"/>
    <w:rsid w:val="00FB580C"/>
    <w:rsid w:val="00FB58FA"/>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2F4"/>
    <w:rsid w:val="00FC7B66"/>
    <w:rsid w:val="00FD0F80"/>
    <w:rsid w:val="00FD19A1"/>
    <w:rsid w:val="00FD245D"/>
    <w:rsid w:val="00FD296C"/>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451"/>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1C"/>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0900E0C"/>
  <w15:docId w15:val="{0E954B59-67D4-4A10-9ABA-9F8760D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nhideWhenUsed/>
    <w:rsid w:val="00CC10BA"/>
    <w:rPr>
      <w:color w:val="auto"/>
      <w:vertAlign w:val="superscript"/>
    </w:rPr>
  </w:style>
  <w:style w:type="paragraph" w:styleId="FootnoteText">
    <w:name w:val="footnote text"/>
    <w:basedOn w:val="Normal"/>
    <w:link w:val="FootnoteTextChar"/>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 w:type="table" w:styleId="GridTable4-Accent1">
    <w:name w:val="Grid Table 4 Accent 1"/>
    <w:basedOn w:val="TableNormal"/>
    <w:uiPriority w:val="49"/>
    <w:rsid w:val="0097100A"/>
    <w:pPr>
      <w:spacing w:line="240" w:lineRule="auto"/>
      <w:jc w:val="left"/>
    </w:pPr>
    <w:rPr>
      <w:rFonts w:eastAsiaTheme="minorHAnsi" w:cstheme="minorBidi"/>
      <w:sz w:val="22"/>
      <w:szCs w:val="22"/>
      <w:lang w:eastAsia="en-US"/>
    </w:rPr>
    <w:tblPr>
      <w:tblStyleRowBandSize w:val="1"/>
      <w:tblStyleColBandSize w:val="1"/>
      <w:tblBorders>
        <w:top w:val="single" w:sz="4" w:space="0" w:color="3DAEFC" w:themeColor="accent1" w:themeTint="99"/>
        <w:left w:val="single" w:sz="4" w:space="0" w:color="3DAEFC" w:themeColor="accent1" w:themeTint="99"/>
        <w:bottom w:val="single" w:sz="4" w:space="0" w:color="3DAEFC" w:themeColor="accent1" w:themeTint="99"/>
        <w:right w:val="single" w:sz="4" w:space="0" w:color="3DAEFC" w:themeColor="accent1" w:themeTint="99"/>
        <w:insideH w:val="single" w:sz="4" w:space="0" w:color="3DAEFC" w:themeColor="accent1" w:themeTint="99"/>
        <w:insideV w:val="single" w:sz="4" w:space="0" w:color="3DAEFC" w:themeColor="accent1" w:themeTint="99"/>
      </w:tblBorders>
    </w:tblPr>
    <w:tblStylePr w:type="firstRow">
      <w:rPr>
        <w:b/>
        <w:bCs/>
        <w:color w:val="FFFFFF" w:themeColor="background1"/>
      </w:rPr>
      <w:tblPr/>
      <w:tcPr>
        <w:tcBorders>
          <w:top w:val="single" w:sz="4" w:space="0" w:color="026CB6" w:themeColor="accent1"/>
          <w:left w:val="single" w:sz="4" w:space="0" w:color="026CB6" w:themeColor="accent1"/>
          <w:bottom w:val="single" w:sz="4" w:space="0" w:color="026CB6" w:themeColor="accent1"/>
          <w:right w:val="single" w:sz="4" w:space="0" w:color="026CB6" w:themeColor="accent1"/>
          <w:insideH w:val="nil"/>
          <w:insideV w:val="nil"/>
        </w:tcBorders>
        <w:shd w:val="clear" w:color="auto" w:fill="026CB6" w:themeFill="accent1"/>
      </w:tcPr>
    </w:tblStylePr>
    <w:tblStylePr w:type="lastRow">
      <w:rPr>
        <w:b/>
        <w:bCs/>
      </w:rPr>
      <w:tblPr/>
      <w:tcPr>
        <w:tcBorders>
          <w:top w:val="double" w:sz="4" w:space="0" w:color="026CB6" w:themeColor="accent1"/>
        </w:tcBorders>
      </w:tcPr>
    </w:tblStylePr>
    <w:tblStylePr w:type="firstCol">
      <w:rPr>
        <w:b/>
        <w:bCs/>
      </w:rPr>
    </w:tblStylePr>
    <w:tblStylePr w:type="lastCol">
      <w:rPr>
        <w:b/>
        <w:bCs/>
      </w:rPr>
    </w:tblStylePr>
    <w:tblStylePr w:type="band1Vert">
      <w:tblPr/>
      <w:tcPr>
        <w:shd w:val="clear" w:color="auto" w:fill="BEE3FE" w:themeFill="accent1" w:themeFillTint="33"/>
      </w:tcPr>
    </w:tblStylePr>
    <w:tblStylePr w:type="band1Horz">
      <w:tblPr/>
      <w:tcPr>
        <w:shd w:val="clear" w:color="auto" w:fill="BEE3F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0B91588814C889E445FCE6F96907E"/>
        <w:category>
          <w:name w:val="General"/>
          <w:gallery w:val="placeholder"/>
        </w:category>
        <w:types>
          <w:type w:val="bbPlcHdr"/>
        </w:types>
        <w:behaviors>
          <w:behavior w:val="content"/>
        </w:behaviors>
        <w:guid w:val="{3B2352B7-0423-4CF8-A095-4B81D1BD0325}"/>
      </w:docPartPr>
      <w:docPartBody>
        <w:p w:rsidR="007A4B7A" w:rsidRDefault="00483C5B">
          <w:pPr>
            <w:pStyle w:val="10E0B91588814C889E445FCE6F96907E"/>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A"/>
    <w:rsid w:val="001F00BA"/>
    <w:rsid w:val="00483C5B"/>
    <w:rsid w:val="004B72AA"/>
    <w:rsid w:val="006D78EC"/>
    <w:rsid w:val="00721A00"/>
    <w:rsid w:val="007A4B7A"/>
    <w:rsid w:val="0080066D"/>
    <w:rsid w:val="008757E2"/>
    <w:rsid w:val="008B2402"/>
    <w:rsid w:val="008D28C2"/>
    <w:rsid w:val="00B06C08"/>
    <w:rsid w:val="00B9392F"/>
    <w:rsid w:val="00F81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10E0B91588814C889E445FCE6F96907E">
    <w:name w:val="10E0B91588814C889E445FCE6F969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ed0e596e-4852-4db1-aee4-2ccb61f9ba80" xsi:nil="true"/>
    <SharedWithUsers xmlns="4c04a84d-6935-475c-a00f-baee446eb2f0">
      <UserInfo>
        <DisplayName/>
        <AccountId xsi:nil="true"/>
        <AccountType/>
      </UserInfo>
    </SharedWithUsers>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58969956a3597a99497690488392c9f7">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7b2ebd97e96443805ee76b7c1da0852f"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66F95-A6D5-4A40-83FB-1C0A521B2120}">
  <ds:schemaRefs>
    <ds:schemaRef ds:uri="http://schemas.microsoft.com/office/2006/metadata/properties"/>
    <ds:schemaRef ds:uri="http://schemas.microsoft.com/office/infopath/2007/PartnerControls"/>
    <ds:schemaRef ds:uri="ed0e596e-4852-4db1-aee4-2ccb61f9ba80"/>
    <ds:schemaRef ds:uri="4c04a84d-6935-475c-a00f-baee446eb2f0"/>
    <ds:schemaRef ds:uri="05d4cef9-0a5b-4b34-ba80-df7150d0dcb9"/>
  </ds:schemaRefs>
</ds:datastoreItem>
</file>

<file path=customXml/itemProps2.xml><?xml version="1.0" encoding="utf-8"?>
<ds:datastoreItem xmlns:ds="http://schemas.openxmlformats.org/officeDocument/2006/customXml" ds:itemID="{818919BB-E740-4071-A913-741269BAE9BA}">
  <ds:schemaRefs>
    <ds:schemaRef ds:uri="http://schemas.microsoft.com/sharepoint/v3/contenttype/forms"/>
  </ds:schemaRefs>
</ds:datastoreItem>
</file>

<file path=customXml/itemProps3.xml><?xml version="1.0" encoding="utf-8"?>
<ds:datastoreItem xmlns:ds="http://schemas.openxmlformats.org/officeDocument/2006/customXml" ds:itemID="{276336A9-04DE-4DDD-84D3-5F461520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596e-4852-4db1-aee4-2ccb61f9ba80"/>
    <ds:schemaRef ds:uri="4c04a84d-6935-475c-a00f-baee446eb2f0"/>
    <ds:schemaRef ds:uri="05d4cef9-0a5b-4b34-ba80-df7150d0d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Jemena File Note</Template>
  <TotalTime>0</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File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Waivers Register – April 2026</dc:subject>
  <dc:creator>Brad Parsons</dc:creator>
  <cp:keywords/>
  <cp:lastModifiedBy>Brad Parsons</cp:lastModifiedBy>
  <cp:revision>4</cp:revision>
  <cp:lastPrinted>2014-06-13T04:30:00Z</cp:lastPrinted>
  <dcterms:created xsi:type="dcterms:W3CDTF">2026-04-14T04:20:00Z</dcterms:created>
  <dcterms:modified xsi:type="dcterms:W3CDTF">2026-04-14T04:28:00Z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MediaServiceImageTags">
    <vt:lpwstr/>
  </property>
  <property fmtid="{D5CDD505-2E9C-101B-9397-08002B2CF9AE}" pid="29" name="ContentTypeId">
    <vt:lpwstr>0x0101007F3EF52D85BA85479F70A3D83A6E6C7E</vt:lpwstr>
  </property>
</Properties>
</file>